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EA" w:rsidRPr="00654CF1" w:rsidRDefault="009A5DEA" w:rsidP="00654CF1">
      <w:pPr>
        <w:spacing w:after="0" w:line="240" w:lineRule="auto"/>
        <w:ind w:left="5103"/>
        <w:jc w:val="both"/>
        <w:rPr>
          <w:rFonts w:ascii="Book Antiqua" w:hAnsi="Book Antiqua"/>
          <w:b/>
          <w:sz w:val="24"/>
          <w:szCs w:val="24"/>
          <w:lang w:val="bg-BG"/>
        </w:rPr>
      </w:pPr>
    </w:p>
    <w:p w:rsidR="00BC6E03" w:rsidRPr="00654CF1" w:rsidRDefault="00E90787" w:rsidP="00654CF1">
      <w:pPr>
        <w:spacing w:after="0" w:line="240" w:lineRule="auto"/>
        <w:ind w:left="5103"/>
        <w:jc w:val="both"/>
        <w:rPr>
          <w:rFonts w:ascii="Book Antiqua" w:hAnsi="Book Antiqua"/>
          <w:b/>
          <w:sz w:val="24"/>
          <w:szCs w:val="24"/>
          <w:u w:val="single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>ДО ЗАИНТЕРЕСОВАНИТЕ ЛИЦА</w:t>
      </w: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276ED1" w:rsidRPr="00654CF1" w:rsidRDefault="00276ED1" w:rsidP="00654CF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bg-BG"/>
        </w:rPr>
      </w:pPr>
    </w:p>
    <w:p w:rsidR="00BC6E03" w:rsidRPr="00654CF1" w:rsidRDefault="00BC6E03" w:rsidP="00654CF1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bg-BG"/>
        </w:rPr>
      </w:pPr>
      <w:r w:rsidRPr="00654CF1">
        <w:rPr>
          <w:rFonts w:ascii="Book Antiqua" w:hAnsi="Book Antiqua"/>
          <w:b/>
          <w:sz w:val="28"/>
          <w:szCs w:val="28"/>
          <w:lang w:val="bg-BG"/>
        </w:rPr>
        <w:t>ПОКАНА</w:t>
      </w:r>
    </w:p>
    <w:p w:rsidR="00BC6E03" w:rsidRPr="00654CF1" w:rsidRDefault="00BC6E03" w:rsidP="00654CF1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bg-BG"/>
        </w:rPr>
      </w:pPr>
    </w:p>
    <w:p w:rsidR="00BC6E03" w:rsidRPr="00654CF1" w:rsidRDefault="00BC6E03" w:rsidP="00654CF1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bg-BG"/>
        </w:rPr>
      </w:pPr>
      <w:r w:rsidRPr="00654CF1">
        <w:rPr>
          <w:rFonts w:ascii="Book Antiqua" w:hAnsi="Book Antiqua"/>
          <w:sz w:val="28"/>
          <w:szCs w:val="28"/>
          <w:lang w:val="bg-BG"/>
        </w:rPr>
        <w:t>ОТ</w:t>
      </w:r>
    </w:p>
    <w:p w:rsidR="002B77B1" w:rsidRPr="00654CF1" w:rsidRDefault="00BC6E03" w:rsidP="00654CF1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bg-BG"/>
        </w:rPr>
      </w:pPr>
      <w:r w:rsidRPr="00654CF1">
        <w:rPr>
          <w:rFonts w:ascii="Book Antiqua" w:hAnsi="Book Antiqua"/>
          <w:sz w:val="28"/>
          <w:szCs w:val="28"/>
          <w:lang w:val="bg-BG"/>
        </w:rPr>
        <w:t xml:space="preserve">ИНСТИТУТ ПО ЕЛЕКТРОХИМИЯ И ЕНЕРГИЙНИ СИСТЕМИ </w:t>
      </w:r>
    </w:p>
    <w:p w:rsidR="00BC6E03" w:rsidRPr="00654CF1" w:rsidRDefault="00BC6E03" w:rsidP="00654CF1">
      <w:pPr>
        <w:spacing w:after="0" w:line="240" w:lineRule="auto"/>
        <w:jc w:val="center"/>
        <w:rPr>
          <w:rFonts w:ascii="Book Antiqua" w:hAnsi="Book Antiqua"/>
          <w:sz w:val="28"/>
          <w:szCs w:val="28"/>
          <w:lang w:val="bg-BG"/>
        </w:rPr>
      </w:pPr>
      <w:r w:rsidRPr="00654CF1">
        <w:rPr>
          <w:rFonts w:ascii="Book Antiqua" w:hAnsi="Book Antiqua"/>
          <w:sz w:val="28"/>
          <w:szCs w:val="28"/>
          <w:lang w:val="bg-BG"/>
        </w:rPr>
        <w:t>„АКАДЕМИК ЕВГЕНИ БУДЕВСКИ“ - БАН, гр. София</w:t>
      </w:r>
    </w:p>
    <w:p w:rsidR="00E90787" w:rsidRPr="00654CF1" w:rsidRDefault="00E90787" w:rsidP="00654CF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bg-BG"/>
        </w:rPr>
      </w:pPr>
    </w:p>
    <w:p w:rsidR="00E90787" w:rsidRPr="00654CF1" w:rsidRDefault="00E90787" w:rsidP="00654CF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bg-BG"/>
        </w:rPr>
      </w:pPr>
    </w:p>
    <w:p w:rsidR="00BC6E03" w:rsidRDefault="00E90787" w:rsidP="00654CF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>ОТНОСНО:</w:t>
      </w:r>
    </w:p>
    <w:p w:rsidR="00654CF1" w:rsidRPr="00654CF1" w:rsidRDefault="00654CF1" w:rsidP="00654CF1">
      <w:pPr>
        <w:spacing w:after="0" w:line="240" w:lineRule="auto"/>
        <w:jc w:val="center"/>
        <w:rPr>
          <w:rFonts w:ascii="Book Antiqua" w:hAnsi="Book Antiqua"/>
          <w:sz w:val="24"/>
          <w:szCs w:val="24"/>
          <w:lang w:val="bg-BG"/>
        </w:rPr>
      </w:pPr>
    </w:p>
    <w:p w:rsidR="00BC6E03" w:rsidRPr="00654CF1" w:rsidRDefault="00E90787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П</w:t>
      </w:r>
      <w:r w:rsidR="00BC6E03" w:rsidRPr="00654CF1">
        <w:rPr>
          <w:rFonts w:ascii="Book Antiqua" w:hAnsi="Book Antiqua"/>
          <w:sz w:val="24"/>
          <w:szCs w:val="24"/>
          <w:lang w:val="bg-BG"/>
        </w:rPr>
        <w:t xml:space="preserve">азарна консултация </w:t>
      </w:r>
      <w:r w:rsidRPr="00654CF1">
        <w:rPr>
          <w:rFonts w:ascii="Book Antiqua" w:hAnsi="Book Antiqua"/>
          <w:sz w:val="24"/>
          <w:szCs w:val="24"/>
          <w:lang w:val="bg-BG"/>
        </w:rPr>
        <w:t>по</w:t>
      </w:r>
      <w:r w:rsidR="00FC1370" w:rsidRPr="00654CF1">
        <w:rPr>
          <w:rFonts w:ascii="Book Antiqua" w:hAnsi="Book Antiqua"/>
          <w:sz w:val="24"/>
          <w:szCs w:val="24"/>
          <w:lang w:val="bg-BG"/>
        </w:rPr>
        <w:t xml:space="preserve"> чл. 21, ал. 2, изр. второ от ЗОП във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 </w:t>
      </w:r>
      <w:r w:rsidR="00FC1370" w:rsidRPr="00654CF1">
        <w:rPr>
          <w:rFonts w:ascii="Book Antiqua" w:hAnsi="Book Antiqua"/>
          <w:sz w:val="24"/>
          <w:szCs w:val="24"/>
          <w:lang w:val="bg-BG"/>
        </w:rPr>
        <w:t xml:space="preserve">вр. с </w:t>
      </w:r>
      <w:r w:rsidRPr="00654CF1">
        <w:rPr>
          <w:rFonts w:ascii="Book Antiqua" w:hAnsi="Book Antiqua"/>
          <w:sz w:val="24"/>
          <w:szCs w:val="24"/>
          <w:lang w:val="bg-BG"/>
        </w:rPr>
        <w:t>чл. 44</w:t>
      </w:r>
      <w:r w:rsidR="00473D39" w:rsidRPr="00654CF1">
        <w:rPr>
          <w:rFonts w:ascii="Book Antiqua" w:hAnsi="Book Antiqua"/>
          <w:sz w:val="24"/>
          <w:szCs w:val="24"/>
          <w:lang w:val="bg-BG"/>
        </w:rPr>
        <w:t>, ал. 1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 от Закона за обществените поръчки във връзка с определяне на прогнозна стойност по обществена поръчка с предмет</w:t>
      </w:r>
      <w:r w:rsidR="0052250E" w:rsidRPr="00654CF1">
        <w:rPr>
          <w:rFonts w:ascii="Book Antiqua" w:hAnsi="Book Antiqua"/>
          <w:sz w:val="24"/>
          <w:szCs w:val="24"/>
          <w:lang w:val="bg-BG"/>
        </w:rPr>
        <w:t xml:space="preserve">: 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>„Доставка, монтаж, въвеждане в експлоатация, обучение за работа и гаранционна поддръжка на специализирана апаратура за нуждите на Институт по електрохимия и енергийни системи „Акад. Евгени Будевски” – БАН – по 4 (четири) обособени позиции”</w:t>
      </w: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816CA4" w:rsidRPr="00654CF1" w:rsidRDefault="00816CA4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E90787" w:rsidRPr="00654CF1" w:rsidRDefault="00E90787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УВАЖАЕМИ ГОСПОЖИ И ГОСПОДА,</w:t>
      </w: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E90787" w:rsidRPr="00654CF1" w:rsidRDefault="00E90787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Във връзка с подготовката за възлагане е необходимо да бъде определена прогнозната стойност на обществена поръчка с горецитирания предмет</w:t>
      </w:r>
      <w:r w:rsidR="00BC6E03" w:rsidRPr="00654CF1">
        <w:rPr>
          <w:rFonts w:ascii="Book Antiqua" w:hAnsi="Book Antiqua"/>
          <w:sz w:val="24"/>
          <w:szCs w:val="24"/>
          <w:lang w:val="bg-BG"/>
        </w:rPr>
        <w:t xml:space="preserve">. </w:t>
      </w:r>
      <w:r w:rsidRPr="00654CF1">
        <w:rPr>
          <w:rFonts w:ascii="Book Antiqua" w:hAnsi="Book Antiqua"/>
          <w:sz w:val="24"/>
          <w:szCs w:val="24"/>
          <w:lang w:val="bg-BG"/>
        </w:rPr>
        <w:t>С оглед на това, на основание</w:t>
      </w:r>
      <w:r w:rsidR="00FC1370" w:rsidRPr="00654CF1">
        <w:rPr>
          <w:rFonts w:ascii="Book Antiqua" w:hAnsi="Book Antiqua"/>
          <w:sz w:val="24"/>
          <w:szCs w:val="24"/>
          <w:lang w:val="bg-BG"/>
        </w:rPr>
        <w:t xml:space="preserve"> чл. 21, ал. 2, изр. второ от ЗОП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 </w:t>
      </w:r>
      <w:r w:rsidR="00FC1370" w:rsidRPr="00654CF1">
        <w:rPr>
          <w:rFonts w:ascii="Book Antiqua" w:hAnsi="Book Antiqua"/>
          <w:sz w:val="24"/>
          <w:szCs w:val="24"/>
          <w:lang w:val="bg-BG"/>
        </w:rPr>
        <w:t xml:space="preserve">във вр. с </w:t>
      </w:r>
      <w:r w:rsidRPr="00654CF1">
        <w:rPr>
          <w:rFonts w:ascii="Book Antiqua" w:hAnsi="Book Antiqua"/>
          <w:sz w:val="24"/>
          <w:szCs w:val="24"/>
          <w:lang w:val="bg-BG"/>
        </w:rPr>
        <w:t>чл. 44, ал. 1 от Закона за обществените поръчки (ЗОП), Ви каним да вземете участие в настоящата пазарна консултация, като предоставите индикативно ценово предложение</w:t>
      </w:r>
      <w:r w:rsidR="00473D39" w:rsidRPr="00654CF1">
        <w:rPr>
          <w:rFonts w:ascii="Book Antiqua" w:hAnsi="Book Antiqua"/>
          <w:sz w:val="24"/>
          <w:szCs w:val="24"/>
          <w:lang w:val="bg-BG"/>
        </w:rPr>
        <w:t xml:space="preserve"> </w:t>
      </w:r>
      <w:r w:rsidRPr="00654CF1">
        <w:rPr>
          <w:rFonts w:ascii="Book Antiqua" w:hAnsi="Book Antiqua"/>
          <w:sz w:val="24"/>
          <w:szCs w:val="24"/>
          <w:lang w:val="bg-BG"/>
        </w:rPr>
        <w:t>в съответствие с условията и изискванията, подробно описани по-долу, както и в Техническата спецификация – Приложение № 1</w:t>
      </w:r>
      <w:r w:rsidR="00C637A9" w:rsidRPr="00654CF1">
        <w:rPr>
          <w:rFonts w:ascii="Book Antiqua" w:hAnsi="Book Antiqua"/>
          <w:sz w:val="24"/>
          <w:szCs w:val="24"/>
          <w:lang w:val="bg-BG"/>
        </w:rPr>
        <w:t xml:space="preserve"> </w:t>
      </w:r>
      <w:r w:rsidRPr="00654CF1">
        <w:rPr>
          <w:rFonts w:ascii="Book Antiqua" w:hAnsi="Book Antiqua"/>
          <w:sz w:val="24"/>
          <w:szCs w:val="24"/>
          <w:lang w:val="bg-BG"/>
        </w:rPr>
        <w:t>към настоящата покана.</w:t>
      </w:r>
    </w:p>
    <w:p w:rsidR="007507B6" w:rsidRPr="00654CF1" w:rsidRDefault="007507B6" w:rsidP="00654CF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bg-BG"/>
        </w:rPr>
      </w:pPr>
    </w:p>
    <w:p w:rsidR="007507B6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u w:val="single"/>
          <w:lang w:val="bg-BG"/>
        </w:rPr>
      </w:pPr>
      <w:r w:rsidRPr="00654CF1">
        <w:rPr>
          <w:rFonts w:ascii="Book Antiqua" w:hAnsi="Book Antiqua"/>
          <w:b/>
          <w:sz w:val="24"/>
          <w:szCs w:val="24"/>
          <w:u w:val="single"/>
          <w:lang w:val="de-DE"/>
        </w:rPr>
        <w:t>I</w:t>
      </w:r>
      <w:r w:rsidRPr="00654CF1">
        <w:rPr>
          <w:rFonts w:ascii="Book Antiqua" w:hAnsi="Book Antiqua"/>
          <w:b/>
          <w:sz w:val="24"/>
          <w:szCs w:val="24"/>
          <w:u w:val="single"/>
          <w:lang w:val="bg-BG"/>
        </w:rPr>
        <w:t xml:space="preserve">. </w:t>
      </w:r>
      <w:r w:rsidR="002B77B1" w:rsidRPr="00654CF1">
        <w:rPr>
          <w:rFonts w:ascii="Book Antiqua" w:hAnsi="Book Antiqua"/>
          <w:b/>
          <w:sz w:val="24"/>
          <w:szCs w:val="24"/>
          <w:u w:val="single"/>
          <w:lang w:val="bg-BG"/>
        </w:rPr>
        <w:t>И</w:t>
      </w:r>
      <w:r w:rsidR="007507B6" w:rsidRPr="00654CF1">
        <w:rPr>
          <w:rFonts w:ascii="Book Antiqua" w:hAnsi="Book Antiqua"/>
          <w:b/>
          <w:sz w:val="24"/>
          <w:szCs w:val="24"/>
          <w:u w:val="single"/>
          <w:lang w:val="bg-BG"/>
        </w:rPr>
        <w:t xml:space="preserve">нформация </w:t>
      </w:r>
      <w:r w:rsidR="002B77B1" w:rsidRPr="00654CF1">
        <w:rPr>
          <w:rFonts w:ascii="Book Antiqua" w:hAnsi="Book Antiqua"/>
          <w:b/>
          <w:sz w:val="24"/>
          <w:szCs w:val="24"/>
          <w:u w:val="single"/>
          <w:lang w:val="bg-BG"/>
        </w:rPr>
        <w:t>относно</w:t>
      </w:r>
      <w:r w:rsidR="007507B6" w:rsidRPr="00654CF1">
        <w:rPr>
          <w:rFonts w:ascii="Book Antiqua" w:hAnsi="Book Antiqua"/>
          <w:b/>
          <w:sz w:val="24"/>
          <w:szCs w:val="24"/>
          <w:u w:val="single"/>
          <w:lang w:val="bg-BG"/>
        </w:rPr>
        <w:t xml:space="preserve"> обществената поръчка:</w:t>
      </w:r>
    </w:p>
    <w:p w:rsidR="009F6DC4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u w:val="single"/>
          <w:lang w:val="bg-BG"/>
        </w:rPr>
      </w:pPr>
    </w:p>
    <w:p w:rsidR="007507B6" w:rsidRPr="00654CF1" w:rsidRDefault="007507B6" w:rsidP="00654C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Възложител: Институт по електрохимия и енергийни системи „Академик Евгени Будевски“ – БАН“, гр. София;</w:t>
      </w:r>
    </w:p>
    <w:p w:rsidR="002B77B1" w:rsidRPr="00654CF1" w:rsidRDefault="002B77B1" w:rsidP="00654CF1">
      <w:pPr>
        <w:pStyle w:val="ListParagraph"/>
        <w:spacing w:after="0" w:line="240" w:lineRule="auto"/>
        <w:ind w:left="709"/>
        <w:jc w:val="both"/>
        <w:rPr>
          <w:rFonts w:ascii="Book Antiqua" w:hAnsi="Book Antiqua"/>
          <w:i/>
          <w:sz w:val="24"/>
          <w:szCs w:val="24"/>
          <w:lang w:val="bg-BG"/>
        </w:rPr>
      </w:pPr>
    </w:p>
    <w:p w:rsidR="007507B6" w:rsidRPr="00654CF1" w:rsidRDefault="007507B6" w:rsidP="00654C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 xml:space="preserve">Обект на обществената поръчка е доставка, по смисъла на чл. 3, ал. 1, т. 2 от ЗОП; </w:t>
      </w:r>
    </w:p>
    <w:p w:rsidR="002B77B1" w:rsidRPr="00654CF1" w:rsidRDefault="002B77B1" w:rsidP="00654CF1">
      <w:pPr>
        <w:pStyle w:val="ListParagraph"/>
        <w:spacing w:after="0" w:line="240" w:lineRule="auto"/>
        <w:ind w:left="709"/>
        <w:jc w:val="both"/>
        <w:rPr>
          <w:rFonts w:ascii="Book Antiqua" w:hAnsi="Book Antiqua"/>
          <w:sz w:val="24"/>
          <w:szCs w:val="24"/>
          <w:lang w:val="bg-BG"/>
        </w:rPr>
      </w:pPr>
    </w:p>
    <w:p w:rsidR="007507B6" w:rsidRPr="00654CF1" w:rsidRDefault="007507B6" w:rsidP="00654C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i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Предмет на обществената поръчка е:</w:t>
      </w:r>
      <w:r w:rsidR="0052250E" w:rsidRPr="00654CF1">
        <w:rPr>
          <w:rFonts w:ascii="Book Antiqua" w:hAnsi="Book Antiqua"/>
          <w:b/>
          <w:sz w:val="24"/>
          <w:szCs w:val="24"/>
          <w:lang w:val="bg-BG"/>
        </w:rPr>
        <w:t xml:space="preserve"> 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„Доставка, монтаж, въвеждане в експлоатация, обучение за работа и гаранционна поддръжка на специализирана апаратура за 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lastRenderedPageBreak/>
        <w:t>нуждите на Институт по електрохимия и енергийни системи „Акад. Евгени Будевски” – БАН – по 4 (четири) обособени позиции”.</w:t>
      </w:r>
    </w:p>
    <w:p w:rsidR="002B77B1" w:rsidRPr="00654CF1" w:rsidRDefault="002B77B1" w:rsidP="00654CF1">
      <w:pPr>
        <w:pStyle w:val="ListParagraph"/>
        <w:spacing w:after="0" w:line="240" w:lineRule="auto"/>
        <w:ind w:left="709"/>
        <w:jc w:val="both"/>
        <w:rPr>
          <w:rFonts w:ascii="Book Antiqua" w:hAnsi="Book Antiqua"/>
          <w:sz w:val="24"/>
          <w:szCs w:val="24"/>
          <w:lang w:val="bg-BG"/>
        </w:rPr>
      </w:pPr>
    </w:p>
    <w:p w:rsidR="0052250E" w:rsidRPr="00654CF1" w:rsidRDefault="00FC1370" w:rsidP="00654C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b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>О</w:t>
      </w:r>
      <w:r w:rsidR="007507B6" w:rsidRPr="00654CF1">
        <w:rPr>
          <w:rFonts w:ascii="Book Antiqua" w:hAnsi="Book Antiqua"/>
          <w:b/>
          <w:sz w:val="24"/>
          <w:szCs w:val="24"/>
          <w:lang w:val="bg-BG"/>
        </w:rPr>
        <w:t>писание</w:t>
      </w:r>
      <w:r w:rsidR="0052250E" w:rsidRPr="00654CF1">
        <w:rPr>
          <w:rFonts w:ascii="Book Antiqua" w:hAnsi="Book Antiqua"/>
          <w:b/>
          <w:sz w:val="24"/>
          <w:szCs w:val="24"/>
          <w:lang w:val="bg-BG"/>
        </w:rPr>
        <w:t xml:space="preserve"> </w:t>
      </w:r>
      <w:r w:rsidR="00DB70F8" w:rsidRPr="00654CF1">
        <w:rPr>
          <w:rFonts w:ascii="Book Antiqua" w:hAnsi="Book Antiqua"/>
          <w:b/>
          <w:sz w:val="24"/>
          <w:szCs w:val="24"/>
          <w:lang w:val="bg-BG"/>
        </w:rPr>
        <w:t xml:space="preserve">и количества </w:t>
      </w:r>
      <w:r w:rsidR="002B77B1" w:rsidRPr="00654CF1">
        <w:rPr>
          <w:rFonts w:ascii="Book Antiqua" w:hAnsi="Book Antiqua"/>
          <w:b/>
          <w:sz w:val="24"/>
          <w:szCs w:val="24"/>
          <w:lang w:val="bg-BG"/>
        </w:rPr>
        <w:t>на доставяната апаратура</w:t>
      </w:r>
      <w:bookmarkStart w:id="0" w:name="_GoBack"/>
      <w:bookmarkEnd w:id="0"/>
      <w:r w:rsidR="007507B6" w:rsidRPr="00654CF1">
        <w:rPr>
          <w:rFonts w:ascii="Book Antiqua" w:hAnsi="Book Antiqua"/>
          <w:b/>
          <w:sz w:val="24"/>
          <w:szCs w:val="24"/>
          <w:lang w:val="bg-BG"/>
        </w:rPr>
        <w:t>:</w:t>
      </w:r>
    </w:p>
    <w:p w:rsidR="0052250E" w:rsidRPr="00654CF1" w:rsidRDefault="00816CA4" w:rsidP="00654CF1">
      <w:pPr>
        <w:spacing w:after="0" w:line="240" w:lineRule="auto"/>
        <w:ind w:firstLine="720"/>
        <w:jc w:val="both"/>
        <w:rPr>
          <w:rFonts w:ascii="Book Antiqua" w:hAnsi="Book Antiqua"/>
          <w:i/>
          <w:sz w:val="24"/>
          <w:szCs w:val="24"/>
          <w:lang w:val="bg-BG"/>
        </w:rPr>
      </w:pPr>
      <w:r w:rsidRPr="00654CF1">
        <w:rPr>
          <w:rFonts w:ascii="Book Antiqua" w:hAnsi="Book Antiqua"/>
          <w:i/>
          <w:sz w:val="24"/>
          <w:szCs w:val="24"/>
          <w:lang w:val="bg-BG"/>
        </w:rPr>
        <w:t>4</w:t>
      </w:r>
      <w:r w:rsidR="0052250E" w:rsidRPr="00654CF1">
        <w:rPr>
          <w:rFonts w:ascii="Book Antiqua" w:hAnsi="Book Antiqua"/>
          <w:i/>
          <w:sz w:val="24"/>
          <w:szCs w:val="24"/>
          <w:lang w:val="bg-BG"/>
        </w:rPr>
        <w:t xml:space="preserve">.1. По </w:t>
      </w:r>
      <w:proofErr w:type="spellStart"/>
      <w:r w:rsidR="0052250E" w:rsidRPr="00654CF1">
        <w:rPr>
          <w:rFonts w:ascii="Book Antiqua" w:hAnsi="Book Antiqua"/>
          <w:i/>
          <w:sz w:val="24"/>
          <w:szCs w:val="24"/>
        </w:rPr>
        <w:t>Обособена</w:t>
      </w:r>
      <w:proofErr w:type="spellEnd"/>
      <w:r w:rsidR="0052250E" w:rsidRPr="00654CF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52250E" w:rsidRPr="00654CF1">
        <w:rPr>
          <w:rFonts w:ascii="Book Antiqua" w:hAnsi="Book Antiqua"/>
          <w:i/>
          <w:sz w:val="24"/>
          <w:szCs w:val="24"/>
        </w:rPr>
        <w:t>позиция</w:t>
      </w:r>
      <w:proofErr w:type="spellEnd"/>
      <w:r w:rsidR="0052250E" w:rsidRPr="00654CF1">
        <w:rPr>
          <w:rFonts w:ascii="Book Antiqua" w:hAnsi="Book Antiqua"/>
          <w:i/>
          <w:sz w:val="24"/>
          <w:szCs w:val="24"/>
        </w:rPr>
        <w:t xml:space="preserve"> 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№ </w:t>
      </w:r>
      <w:r w:rsidR="0052250E" w:rsidRPr="00654CF1">
        <w:rPr>
          <w:rFonts w:ascii="Book Antiqua" w:hAnsi="Book Antiqua"/>
          <w:i/>
          <w:sz w:val="24"/>
          <w:szCs w:val="24"/>
        </w:rPr>
        <w:t>1</w:t>
      </w:r>
      <w:r w:rsidR="00473D39" w:rsidRPr="00654CF1">
        <w:rPr>
          <w:rFonts w:ascii="Book Antiqua" w:hAnsi="Book Antiqua"/>
          <w:i/>
          <w:sz w:val="24"/>
          <w:szCs w:val="24"/>
          <w:lang w:val="bg-BG"/>
        </w:rPr>
        <w:t xml:space="preserve"> 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>„Тестери за батерии”</w:t>
      </w:r>
      <w:r w:rsidR="00750F97" w:rsidRPr="00654CF1">
        <w:rPr>
          <w:rFonts w:ascii="Book Antiqua" w:hAnsi="Book Antiqua"/>
          <w:i/>
          <w:sz w:val="24"/>
          <w:szCs w:val="24"/>
          <w:lang w:val="bg-BG"/>
        </w:rPr>
        <w:t xml:space="preserve"> –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 </w:t>
      </w:r>
      <w:r w:rsidR="00750F97" w:rsidRPr="00654CF1">
        <w:rPr>
          <w:rFonts w:ascii="Book Antiqua" w:hAnsi="Book Antiqua"/>
          <w:i/>
          <w:sz w:val="24"/>
          <w:szCs w:val="24"/>
          <w:lang w:val="bg-BG"/>
        </w:rPr>
        <w:t>2 бр.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>;</w:t>
      </w:r>
    </w:p>
    <w:p w:rsidR="0052250E" w:rsidRPr="00654CF1" w:rsidRDefault="00816CA4" w:rsidP="00654CF1">
      <w:pPr>
        <w:spacing w:after="0" w:line="240" w:lineRule="auto"/>
        <w:ind w:firstLine="720"/>
        <w:rPr>
          <w:rFonts w:ascii="Book Antiqua" w:hAnsi="Book Antiqua"/>
          <w:i/>
          <w:sz w:val="24"/>
          <w:szCs w:val="24"/>
          <w:lang w:val="bg-BG"/>
        </w:rPr>
      </w:pPr>
      <w:r w:rsidRPr="00654CF1">
        <w:rPr>
          <w:rFonts w:ascii="Book Antiqua" w:hAnsi="Book Antiqua"/>
          <w:i/>
          <w:sz w:val="24"/>
          <w:szCs w:val="24"/>
          <w:lang w:val="bg-BG"/>
        </w:rPr>
        <w:t>4</w:t>
      </w:r>
      <w:r w:rsidR="0052250E" w:rsidRPr="00654CF1">
        <w:rPr>
          <w:rFonts w:ascii="Book Antiqua" w:hAnsi="Book Antiqua"/>
          <w:i/>
          <w:sz w:val="24"/>
          <w:szCs w:val="24"/>
          <w:lang w:val="bg-BG"/>
        </w:rPr>
        <w:t xml:space="preserve">.2. По </w:t>
      </w:r>
      <w:proofErr w:type="spellStart"/>
      <w:r w:rsidR="0052250E" w:rsidRPr="00654CF1">
        <w:rPr>
          <w:rFonts w:ascii="Book Antiqua" w:hAnsi="Book Antiqua"/>
          <w:i/>
          <w:sz w:val="24"/>
          <w:szCs w:val="24"/>
        </w:rPr>
        <w:t>Обособена</w:t>
      </w:r>
      <w:proofErr w:type="spellEnd"/>
      <w:r w:rsidR="0052250E" w:rsidRPr="00654CF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52250E" w:rsidRPr="00654CF1">
        <w:rPr>
          <w:rFonts w:ascii="Book Antiqua" w:hAnsi="Book Antiqua"/>
          <w:i/>
          <w:sz w:val="24"/>
          <w:szCs w:val="24"/>
        </w:rPr>
        <w:t>позиция</w:t>
      </w:r>
      <w:proofErr w:type="spellEnd"/>
      <w:r w:rsidR="0052250E" w:rsidRPr="00654CF1">
        <w:rPr>
          <w:rFonts w:ascii="Book Antiqua" w:hAnsi="Book Antiqua"/>
          <w:i/>
          <w:sz w:val="24"/>
          <w:szCs w:val="24"/>
        </w:rPr>
        <w:t xml:space="preserve"> 2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 „</w:t>
      </w:r>
      <w:r w:rsidR="00FC1370" w:rsidRPr="00654CF1">
        <w:rPr>
          <w:rFonts w:ascii="Book Antiqua" w:hAnsi="Book Antiqua" w:cs="Times New Roman"/>
          <w:bCs/>
          <w:i/>
          <w:sz w:val="24"/>
          <w:szCs w:val="24"/>
          <w:lang w:val="bg-BG"/>
        </w:rPr>
        <w:t>Апарат за полимеразна верижна реакция (</w:t>
      </w:r>
      <w:r w:rsidR="00FC1370" w:rsidRPr="00654CF1">
        <w:rPr>
          <w:rFonts w:ascii="Book Antiqua" w:hAnsi="Book Antiqua" w:cs="Times New Roman"/>
          <w:bCs/>
          <w:i/>
          <w:sz w:val="24"/>
          <w:szCs w:val="24"/>
        </w:rPr>
        <w:t>PCR</w:t>
      </w:r>
      <w:r w:rsidR="00FC1370" w:rsidRPr="00654CF1">
        <w:rPr>
          <w:rFonts w:ascii="Book Antiqua" w:hAnsi="Book Antiqua" w:cs="Times New Roman"/>
          <w:bCs/>
          <w:i/>
          <w:sz w:val="24"/>
          <w:szCs w:val="24"/>
          <w:lang w:val="bg-BG"/>
        </w:rPr>
        <w:t xml:space="preserve">)” </w:t>
      </w:r>
      <w:r w:rsidR="0052250E" w:rsidRPr="00654CF1">
        <w:rPr>
          <w:rFonts w:ascii="Book Antiqua" w:hAnsi="Book Antiqua"/>
          <w:i/>
          <w:sz w:val="24"/>
          <w:szCs w:val="24"/>
          <w:lang w:val="bg-BG"/>
        </w:rPr>
        <w:t xml:space="preserve"> – 1 бр.</w:t>
      </w:r>
    </w:p>
    <w:p w:rsidR="0052250E" w:rsidRPr="00654CF1" w:rsidRDefault="00816CA4" w:rsidP="00654CF1">
      <w:pPr>
        <w:spacing w:after="0" w:line="240" w:lineRule="auto"/>
        <w:ind w:firstLine="720"/>
        <w:jc w:val="both"/>
        <w:rPr>
          <w:rFonts w:ascii="Book Antiqua" w:hAnsi="Book Antiqua"/>
          <w:i/>
          <w:sz w:val="24"/>
          <w:szCs w:val="24"/>
          <w:lang w:val="bg-BG"/>
        </w:rPr>
      </w:pPr>
      <w:r w:rsidRPr="00654CF1">
        <w:rPr>
          <w:rFonts w:ascii="Book Antiqua" w:hAnsi="Book Antiqua"/>
          <w:i/>
          <w:sz w:val="24"/>
          <w:szCs w:val="24"/>
          <w:lang w:val="bg-BG"/>
        </w:rPr>
        <w:t>4</w:t>
      </w:r>
      <w:r w:rsidR="0052250E" w:rsidRPr="00654CF1">
        <w:rPr>
          <w:rFonts w:ascii="Book Antiqua" w:hAnsi="Book Antiqua"/>
          <w:i/>
          <w:sz w:val="24"/>
          <w:szCs w:val="24"/>
          <w:lang w:val="bg-BG"/>
        </w:rPr>
        <w:t xml:space="preserve">.3. По </w:t>
      </w:r>
      <w:proofErr w:type="spellStart"/>
      <w:r w:rsidR="0052250E" w:rsidRPr="00654CF1">
        <w:rPr>
          <w:rFonts w:ascii="Book Antiqua" w:hAnsi="Book Antiqua"/>
          <w:i/>
          <w:sz w:val="24"/>
          <w:szCs w:val="24"/>
        </w:rPr>
        <w:t>Обособена</w:t>
      </w:r>
      <w:proofErr w:type="spellEnd"/>
      <w:r w:rsidR="0052250E" w:rsidRPr="00654CF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FC1370" w:rsidRPr="00654CF1">
        <w:rPr>
          <w:rFonts w:ascii="Book Antiqua" w:hAnsi="Book Antiqua"/>
          <w:i/>
          <w:sz w:val="24"/>
          <w:szCs w:val="24"/>
        </w:rPr>
        <w:t>позиция</w:t>
      </w:r>
      <w:proofErr w:type="spellEnd"/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 № </w:t>
      </w:r>
      <w:r w:rsidR="0052250E" w:rsidRPr="00654CF1">
        <w:rPr>
          <w:rFonts w:ascii="Book Antiqua" w:hAnsi="Book Antiqua"/>
          <w:i/>
          <w:sz w:val="24"/>
          <w:szCs w:val="24"/>
        </w:rPr>
        <w:t>3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 „Високооборотна  настолна универсална центрофуга” </w:t>
      </w:r>
      <w:r w:rsidR="0052250E" w:rsidRPr="00654CF1">
        <w:rPr>
          <w:rFonts w:ascii="Book Antiqua" w:hAnsi="Book Antiqua"/>
          <w:i/>
          <w:sz w:val="24"/>
          <w:szCs w:val="24"/>
          <w:lang w:val="bg-BG"/>
        </w:rPr>
        <w:t>– 1 бр.</w:t>
      </w:r>
    </w:p>
    <w:p w:rsidR="0052250E" w:rsidRPr="00654CF1" w:rsidRDefault="00816CA4" w:rsidP="00654CF1">
      <w:pPr>
        <w:spacing w:after="0" w:line="240" w:lineRule="auto"/>
        <w:ind w:firstLine="720"/>
        <w:rPr>
          <w:rFonts w:ascii="Book Antiqua" w:hAnsi="Book Antiqua"/>
          <w:i/>
          <w:sz w:val="24"/>
          <w:szCs w:val="24"/>
          <w:lang w:val="bg-BG"/>
        </w:rPr>
      </w:pPr>
      <w:r w:rsidRPr="00654CF1">
        <w:rPr>
          <w:rFonts w:ascii="Book Antiqua" w:hAnsi="Book Antiqua"/>
          <w:i/>
          <w:sz w:val="24"/>
          <w:szCs w:val="24"/>
          <w:lang w:val="bg-BG"/>
        </w:rPr>
        <w:t>4</w:t>
      </w:r>
      <w:r w:rsidR="0052250E" w:rsidRPr="00654CF1">
        <w:rPr>
          <w:rFonts w:ascii="Book Antiqua" w:hAnsi="Book Antiqua"/>
          <w:i/>
          <w:sz w:val="24"/>
          <w:szCs w:val="24"/>
          <w:lang w:val="bg-BG"/>
        </w:rPr>
        <w:t xml:space="preserve">.4. По </w:t>
      </w:r>
      <w:proofErr w:type="spellStart"/>
      <w:r w:rsidR="0052250E" w:rsidRPr="00654CF1">
        <w:rPr>
          <w:rFonts w:ascii="Book Antiqua" w:hAnsi="Book Antiqua"/>
          <w:i/>
          <w:sz w:val="24"/>
          <w:szCs w:val="24"/>
        </w:rPr>
        <w:t>Обособена</w:t>
      </w:r>
      <w:proofErr w:type="spellEnd"/>
      <w:r w:rsidR="0052250E" w:rsidRPr="00654CF1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52250E" w:rsidRPr="00654CF1">
        <w:rPr>
          <w:rFonts w:ascii="Book Antiqua" w:hAnsi="Book Antiqua"/>
          <w:i/>
          <w:sz w:val="24"/>
          <w:szCs w:val="24"/>
        </w:rPr>
        <w:t>позиция</w:t>
      </w:r>
      <w:proofErr w:type="spellEnd"/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 №</w:t>
      </w:r>
      <w:r w:rsidR="0052250E" w:rsidRPr="00654CF1">
        <w:rPr>
          <w:rFonts w:ascii="Book Antiqua" w:hAnsi="Book Antiqua"/>
          <w:i/>
          <w:sz w:val="24"/>
          <w:szCs w:val="24"/>
        </w:rPr>
        <w:t xml:space="preserve"> 4</w:t>
      </w:r>
      <w:r w:rsidR="00FC1370" w:rsidRPr="00654CF1">
        <w:rPr>
          <w:rFonts w:ascii="Book Antiqua" w:hAnsi="Book Antiqua"/>
          <w:i/>
          <w:sz w:val="24"/>
          <w:szCs w:val="24"/>
          <w:lang w:val="bg-BG"/>
        </w:rPr>
        <w:t xml:space="preserve"> „Настолен pH метър” </w:t>
      </w:r>
      <w:r w:rsidR="0052250E" w:rsidRPr="00654CF1">
        <w:rPr>
          <w:rFonts w:ascii="Book Antiqua" w:hAnsi="Book Antiqua"/>
          <w:i/>
          <w:sz w:val="24"/>
          <w:szCs w:val="24"/>
          <w:lang w:val="bg-BG"/>
        </w:rPr>
        <w:t>– 1 бр.</w:t>
      </w:r>
    </w:p>
    <w:p w:rsidR="0052250E" w:rsidRPr="00654CF1" w:rsidRDefault="0052250E" w:rsidP="00654CF1">
      <w:pPr>
        <w:spacing w:after="0" w:line="240" w:lineRule="auto"/>
        <w:rPr>
          <w:rFonts w:ascii="Book Antiqua" w:hAnsi="Book Antiqua"/>
          <w:b/>
          <w:sz w:val="24"/>
          <w:szCs w:val="24"/>
          <w:lang w:val="bg-BG"/>
        </w:rPr>
      </w:pPr>
    </w:p>
    <w:p w:rsidR="002B77B1" w:rsidRPr="00654CF1" w:rsidRDefault="007507B6" w:rsidP="00654CF1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 xml:space="preserve">Техническите </w:t>
      </w:r>
      <w:r w:rsidR="002B77B1" w:rsidRPr="00654CF1">
        <w:rPr>
          <w:rFonts w:ascii="Book Antiqua" w:hAnsi="Book Antiqua"/>
          <w:b/>
          <w:sz w:val="24"/>
          <w:szCs w:val="24"/>
          <w:lang w:val="bg-BG"/>
        </w:rPr>
        <w:t>и функционални параметри</w:t>
      </w:r>
      <w:r w:rsidRPr="00654CF1">
        <w:rPr>
          <w:rFonts w:ascii="Book Antiqua" w:hAnsi="Book Antiqua"/>
          <w:b/>
          <w:sz w:val="24"/>
          <w:szCs w:val="24"/>
          <w:lang w:val="bg-BG"/>
        </w:rPr>
        <w:t xml:space="preserve"> на </w:t>
      </w:r>
      <w:r w:rsidR="002B77B1" w:rsidRPr="00654CF1">
        <w:rPr>
          <w:rFonts w:ascii="Book Antiqua" w:hAnsi="Book Antiqua"/>
          <w:b/>
          <w:sz w:val="24"/>
          <w:szCs w:val="24"/>
          <w:lang w:val="bg-BG"/>
        </w:rPr>
        <w:t>апаратурата</w:t>
      </w:r>
      <w:r w:rsidRPr="00654CF1">
        <w:rPr>
          <w:rFonts w:ascii="Book Antiqua" w:hAnsi="Book Antiqua"/>
          <w:b/>
          <w:sz w:val="24"/>
          <w:szCs w:val="24"/>
          <w:lang w:val="bg-BG"/>
        </w:rPr>
        <w:t>, предмет на обществената  поръчка, са посочени подробно в Приложение</w:t>
      </w:r>
      <w:r w:rsidR="00DB70F8" w:rsidRPr="00654CF1">
        <w:rPr>
          <w:rFonts w:ascii="Book Antiqua" w:hAnsi="Book Antiqua"/>
          <w:b/>
          <w:sz w:val="24"/>
          <w:szCs w:val="24"/>
          <w:lang w:val="bg-BG"/>
        </w:rPr>
        <w:t xml:space="preserve"> №</w:t>
      </w:r>
      <w:r w:rsidR="00816CA4" w:rsidRPr="00654CF1">
        <w:rPr>
          <w:rFonts w:ascii="Book Antiqua" w:hAnsi="Book Antiqua"/>
          <w:b/>
          <w:sz w:val="24"/>
          <w:szCs w:val="24"/>
          <w:lang w:val="bg-BG"/>
        </w:rPr>
        <w:t xml:space="preserve"> 1</w:t>
      </w:r>
      <w:r w:rsidR="00DB70F8" w:rsidRPr="00654CF1">
        <w:rPr>
          <w:rFonts w:ascii="Book Antiqua" w:hAnsi="Book Antiqua"/>
          <w:sz w:val="24"/>
          <w:szCs w:val="24"/>
          <w:lang w:val="bg-BG"/>
        </w:rPr>
        <w:t xml:space="preserve">, </w:t>
      </w:r>
      <w:r w:rsidR="00750F97" w:rsidRPr="00654CF1">
        <w:rPr>
          <w:rFonts w:ascii="Book Antiqua" w:hAnsi="Book Antiqua"/>
          <w:sz w:val="24"/>
          <w:szCs w:val="24"/>
          <w:lang w:val="bg-BG"/>
        </w:rPr>
        <w:t>приложено като прикачен файл към настоящата пазарна консултация.</w:t>
      </w:r>
      <w:r w:rsidR="00DB70F8" w:rsidRPr="00654CF1">
        <w:rPr>
          <w:rFonts w:ascii="Book Antiqua" w:hAnsi="Book Antiqua"/>
          <w:sz w:val="24"/>
          <w:szCs w:val="24"/>
          <w:lang w:val="bg-BG"/>
        </w:rPr>
        <w:t xml:space="preserve"> Описаните параметри представляват 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задължителни </w:t>
      </w:r>
      <w:r w:rsidR="00220DD3" w:rsidRPr="00654CF1">
        <w:rPr>
          <w:rFonts w:ascii="Book Antiqua" w:hAnsi="Book Antiqua"/>
          <w:sz w:val="24"/>
          <w:szCs w:val="24"/>
          <w:lang w:val="bg-BG"/>
        </w:rPr>
        <w:t xml:space="preserve">минимални 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технически характеристики на </w:t>
      </w:r>
      <w:r w:rsidR="00DB70F8" w:rsidRPr="00654CF1">
        <w:rPr>
          <w:rFonts w:ascii="Book Antiqua" w:hAnsi="Book Antiqua"/>
          <w:sz w:val="24"/>
          <w:szCs w:val="24"/>
          <w:lang w:val="bg-BG"/>
        </w:rPr>
        <w:t>апаратурата</w:t>
      </w:r>
      <w:r w:rsidRPr="00654CF1">
        <w:rPr>
          <w:rFonts w:ascii="Book Antiqua" w:hAnsi="Book Antiqua"/>
          <w:sz w:val="24"/>
          <w:szCs w:val="24"/>
          <w:lang w:val="bg-BG"/>
        </w:rPr>
        <w:t>.</w:t>
      </w:r>
    </w:p>
    <w:p w:rsidR="007507B6" w:rsidRPr="00654CF1" w:rsidRDefault="007507B6" w:rsidP="00654CF1">
      <w:pPr>
        <w:pStyle w:val="ListParagraph"/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7507B6" w:rsidRPr="00654CF1" w:rsidRDefault="007507B6" w:rsidP="00654CF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bg-BG"/>
        </w:rPr>
      </w:pPr>
    </w:p>
    <w:p w:rsidR="009F6DC4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  <w:u w:val="single"/>
          <w:lang w:val="bg-BG"/>
        </w:rPr>
      </w:pPr>
      <w:r w:rsidRPr="00654CF1">
        <w:rPr>
          <w:rFonts w:ascii="Book Antiqua" w:hAnsi="Book Antiqua"/>
          <w:b/>
          <w:sz w:val="24"/>
          <w:szCs w:val="24"/>
          <w:u w:val="single"/>
          <w:lang w:val="de-DE"/>
        </w:rPr>
        <w:t>II</w:t>
      </w:r>
      <w:r w:rsidRPr="00654CF1">
        <w:rPr>
          <w:rFonts w:ascii="Book Antiqua" w:hAnsi="Book Antiqua"/>
          <w:b/>
          <w:sz w:val="24"/>
          <w:szCs w:val="24"/>
          <w:u w:val="single"/>
          <w:lang w:val="bg-BG"/>
        </w:rPr>
        <w:t xml:space="preserve">. Указания относно подаване на индикативните предложения и правни последици </w:t>
      </w:r>
    </w:p>
    <w:p w:rsidR="009F6DC4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2B77B1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 xml:space="preserve">1. </w:t>
      </w:r>
      <w:r w:rsidR="002B77B1" w:rsidRPr="00654CF1">
        <w:rPr>
          <w:rFonts w:ascii="Book Antiqua" w:hAnsi="Book Antiqua"/>
          <w:sz w:val="24"/>
          <w:szCs w:val="24"/>
          <w:lang w:val="bg-BG"/>
        </w:rPr>
        <w:t>В предлаганата цена за изпълнение на поръчката следва д</w:t>
      </w:r>
      <w:r w:rsidR="00DB70F8" w:rsidRPr="00654CF1">
        <w:rPr>
          <w:rFonts w:ascii="Book Antiqua" w:hAnsi="Book Antiqua"/>
          <w:sz w:val="24"/>
          <w:szCs w:val="24"/>
          <w:lang w:val="bg-BG"/>
        </w:rPr>
        <w:t xml:space="preserve">а са включени всички разходи </w:t>
      </w:r>
      <w:r w:rsidR="002B77B1" w:rsidRPr="00654CF1">
        <w:rPr>
          <w:rFonts w:ascii="Book Antiqua" w:hAnsi="Book Antiqua"/>
          <w:sz w:val="24"/>
          <w:szCs w:val="24"/>
          <w:lang w:val="bg-BG"/>
        </w:rPr>
        <w:t>по изпълнение на доставката на описан</w:t>
      </w:r>
      <w:r w:rsidR="00220DD3" w:rsidRPr="00654CF1">
        <w:rPr>
          <w:rFonts w:ascii="Book Antiqua" w:hAnsi="Book Antiqua"/>
          <w:sz w:val="24"/>
          <w:szCs w:val="24"/>
          <w:lang w:val="bg-BG"/>
        </w:rPr>
        <w:t>ата</w:t>
      </w:r>
      <w:r w:rsidR="002B77B1" w:rsidRPr="00654CF1">
        <w:rPr>
          <w:rFonts w:ascii="Book Antiqua" w:hAnsi="Book Antiqua"/>
          <w:sz w:val="24"/>
          <w:szCs w:val="24"/>
          <w:lang w:val="bg-BG"/>
        </w:rPr>
        <w:t xml:space="preserve"> в техническата спецификация </w:t>
      </w:r>
      <w:r w:rsidR="00220DD3" w:rsidRPr="00654CF1">
        <w:rPr>
          <w:rFonts w:ascii="Book Antiqua" w:hAnsi="Book Antiqua"/>
          <w:sz w:val="24"/>
          <w:szCs w:val="24"/>
          <w:lang w:val="bg-BG"/>
        </w:rPr>
        <w:t>апаратура</w:t>
      </w:r>
      <w:r w:rsidR="002B77B1" w:rsidRPr="00654CF1">
        <w:rPr>
          <w:rFonts w:ascii="Book Antiqua" w:hAnsi="Book Antiqua"/>
          <w:sz w:val="24"/>
          <w:szCs w:val="24"/>
          <w:lang w:val="bg-BG"/>
        </w:rPr>
        <w:t xml:space="preserve"> и всички не</w:t>
      </w:r>
      <w:r w:rsidR="00220DD3" w:rsidRPr="00654CF1">
        <w:rPr>
          <w:rFonts w:ascii="Book Antiqua" w:hAnsi="Book Antiqua"/>
          <w:sz w:val="24"/>
          <w:szCs w:val="24"/>
          <w:lang w:val="bg-BG"/>
        </w:rPr>
        <w:t>йни</w:t>
      </w:r>
      <w:r w:rsidR="002B77B1" w:rsidRPr="00654CF1">
        <w:rPr>
          <w:rFonts w:ascii="Book Antiqua" w:hAnsi="Book Antiqua"/>
          <w:sz w:val="24"/>
          <w:szCs w:val="24"/>
          <w:lang w:val="bg-BG"/>
        </w:rPr>
        <w:t xml:space="preserve"> компоненти, всички разходи за опаковка, маркировка, транспорт, застраховка, митнически сборове и такси, разходи по монтаж, пускане в експлоатация и обучение за работа, разходи за гаранционен сервиз за предвидения минимален период, подмяна на резервни и бързоизносващи се части в срока на гаранцията, както и други разходи по дейности, необходими за цялостното изпълнение на поръчката.</w:t>
      </w:r>
    </w:p>
    <w:p w:rsidR="002B77B1" w:rsidRPr="00654CF1" w:rsidRDefault="002B77B1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9F6DC4" w:rsidRPr="00654CF1" w:rsidRDefault="002B77B1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 xml:space="preserve">2. </w:t>
      </w:r>
      <w:r w:rsidR="00E90787" w:rsidRPr="00654CF1">
        <w:rPr>
          <w:rFonts w:ascii="Book Antiqua" w:hAnsi="Book Antiqua"/>
          <w:sz w:val="24"/>
          <w:szCs w:val="24"/>
          <w:lang w:val="bg-BG"/>
        </w:rPr>
        <w:t>Крайният срок за подаване на индикативното ценово</w:t>
      </w:r>
      <w:r w:rsidR="004F217A" w:rsidRPr="00654CF1">
        <w:rPr>
          <w:rFonts w:ascii="Book Antiqua" w:hAnsi="Book Antiqua"/>
          <w:sz w:val="24"/>
          <w:szCs w:val="24"/>
          <w:lang w:val="bg-BG"/>
        </w:rPr>
        <w:t xml:space="preserve"> </w:t>
      </w:r>
      <w:r w:rsidR="00DB70F8" w:rsidRPr="00654CF1">
        <w:rPr>
          <w:rFonts w:ascii="Book Antiqua" w:hAnsi="Book Antiqua"/>
          <w:sz w:val="24"/>
          <w:szCs w:val="24"/>
          <w:lang w:val="bg-BG"/>
        </w:rPr>
        <w:t xml:space="preserve">предложение </w:t>
      </w:r>
      <w:r w:rsidR="00BC6E03" w:rsidRPr="00654CF1">
        <w:rPr>
          <w:rFonts w:ascii="Book Antiqua" w:hAnsi="Book Antiqua"/>
          <w:sz w:val="24"/>
          <w:szCs w:val="24"/>
          <w:lang w:val="bg-BG"/>
        </w:rPr>
        <w:t>(съгласно образеца – Приложение № 2 към настоящата покана</w:t>
      </w:r>
      <w:r w:rsidR="00BC6E03" w:rsidRPr="00343A12">
        <w:rPr>
          <w:rFonts w:ascii="Book Antiqua" w:hAnsi="Book Antiqua"/>
          <w:sz w:val="24"/>
          <w:szCs w:val="24"/>
          <w:lang w:val="bg-BG"/>
        </w:rPr>
        <w:t>)</w:t>
      </w:r>
      <w:r w:rsidR="00E90787" w:rsidRPr="00343A12">
        <w:rPr>
          <w:rFonts w:ascii="Book Antiqua" w:hAnsi="Book Antiqua"/>
          <w:sz w:val="24"/>
          <w:szCs w:val="24"/>
          <w:lang w:val="bg-BG"/>
        </w:rPr>
        <w:t xml:space="preserve"> е </w:t>
      </w:r>
      <w:r w:rsidR="00E90787" w:rsidRPr="00343A12">
        <w:rPr>
          <w:rFonts w:ascii="Book Antiqua" w:hAnsi="Book Antiqua"/>
          <w:b/>
          <w:sz w:val="24"/>
          <w:szCs w:val="24"/>
          <w:lang w:val="bg-BG"/>
        </w:rPr>
        <w:t xml:space="preserve">до </w:t>
      </w:r>
      <w:r w:rsidR="007507B6" w:rsidRPr="00343A12">
        <w:rPr>
          <w:rFonts w:ascii="Book Antiqua" w:hAnsi="Book Antiqua"/>
          <w:b/>
          <w:sz w:val="24"/>
          <w:szCs w:val="24"/>
          <w:lang w:val="bg-BG"/>
        </w:rPr>
        <w:t>16:30 часа</w:t>
      </w:r>
      <w:r w:rsidRPr="00343A12">
        <w:rPr>
          <w:rFonts w:ascii="Book Antiqua" w:hAnsi="Book Antiqua"/>
          <w:b/>
          <w:sz w:val="24"/>
          <w:szCs w:val="24"/>
          <w:lang w:val="bg-BG"/>
        </w:rPr>
        <w:t xml:space="preserve"> на </w:t>
      </w:r>
      <w:r w:rsidR="00816CA4" w:rsidRPr="00343A12">
        <w:rPr>
          <w:rFonts w:ascii="Book Antiqua" w:hAnsi="Book Antiqua"/>
          <w:b/>
          <w:sz w:val="24"/>
          <w:szCs w:val="24"/>
          <w:lang w:val="bg-BG"/>
        </w:rPr>
        <w:t>17.0</w:t>
      </w:r>
      <w:r w:rsidR="00343A12" w:rsidRPr="00343A12">
        <w:rPr>
          <w:rFonts w:ascii="Book Antiqua" w:hAnsi="Book Antiqua"/>
          <w:b/>
          <w:sz w:val="24"/>
          <w:szCs w:val="24"/>
          <w:lang w:val="bg-BG"/>
        </w:rPr>
        <w:t>8</w:t>
      </w:r>
      <w:r w:rsidR="00816CA4" w:rsidRPr="00343A12">
        <w:rPr>
          <w:rFonts w:ascii="Book Antiqua" w:hAnsi="Book Antiqua"/>
          <w:b/>
          <w:sz w:val="24"/>
          <w:szCs w:val="24"/>
          <w:lang w:val="bg-BG"/>
        </w:rPr>
        <w:t>.</w:t>
      </w:r>
      <w:r w:rsidRPr="00343A12">
        <w:rPr>
          <w:rFonts w:ascii="Book Antiqua" w:hAnsi="Book Antiqua"/>
          <w:b/>
          <w:sz w:val="24"/>
          <w:szCs w:val="24"/>
          <w:lang w:val="bg-BG"/>
        </w:rPr>
        <w:t>20</w:t>
      </w:r>
      <w:r w:rsidR="00467F8B" w:rsidRPr="00343A12">
        <w:rPr>
          <w:rFonts w:ascii="Book Antiqua" w:hAnsi="Book Antiqua"/>
          <w:b/>
          <w:sz w:val="24"/>
          <w:szCs w:val="24"/>
          <w:lang w:val="bg-BG"/>
        </w:rPr>
        <w:t xml:space="preserve">20 </w:t>
      </w:r>
      <w:r w:rsidRPr="00343A12">
        <w:rPr>
          <w:rFonts w:ascii="Book Antiqua" w:hAnsi="Book Antiqua"/>
          <w:b/>
          <w:sz w:val="24"/>
          <w:szCs w:val="24"/>
          <w:lang w:val="bg-BG"/>
        </w:rPr>
        <w:t>г.</w:t>
      </w:r>
      <w:r w:rsidR="007507B6" w:rsidRPr="00343A12">
        <w:rPr>
          <w:rFonts w:ascii="Book Antiqua" w:hAnsi="Book Antiqua"/>
          <w:sz w:val="24"/>
          <w:szCs w:val="24"/>
          <w:lang w:val="bg-BG"/>
        </w:rPr>
        <w:t xml:space="preserve">, </w:t>
      </w:r>
      <w:r w:rsidR="009F6DC4" w:rsidRPr="00343A12">
        <w:rPr>
          <w:rFonts w:ascii="Book Antiqua" w:hAnsi="Book Antiqua"/>
          <w:sz w:val="24"/>
          <w:szCs w:val="24"/>
          <w:lang w:val="bg-BG"/>
        </w:rPr>
        <w:t>като участниците могат да изберат един от след</w:t>
      </w:r>
      <w:r w:rsidR="009F6DC4" w:rsidRPr="00654CF1">
        <w:rPr>
          <w:rFonts w:ascii="Book Antiqua" w:hAnsi="Book Antiqua"/>
          <w:sz w:val="24"/>
          <w:szCs w:val="24"/>
          <w:lang w:val="bg-BG"/>
        </w:rPr>
        <w:t>ните начини за подаване на индикативните ценови предложения:</w:t>
      </w:r>
    </w:p>
    <w:p w:rsidR="00750F97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i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>а)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 лично или по поща/куриер до</w:t>
      </w:r>
      <w:r w:rsidR="007507B6" w:rsidRPr="00654CF1">
        <w:rPr>
          <w:rFonts w:ascii="Book Antiqua" w:hAnsi="Book Antiqua"/>
          <w:sz w:val="24"/>
          <w:szCs w:val="24"/>
          <w:lang w:val="bg-BG"/>
        </w:rPr>
        <w:t xml:space="preserve"> деловодството на Възложителя на адрес: гр. София, ул. </w:t>
      </w:r>
      <w:r w:rsidR="00DB70F8" w:rsidRPr="00654CF1">
        <w:rPr>
          <w:rFonts w:ascii="Book Antiqua" w:hAnsi="Book Antiqua"/>
          <w:sz w:val="24"/>
          <w:szCs w:val="24"/>
          <w:lang w:val="bg-BG"/>
        </w:rPr>
        <w:t>„</w:t>
      </w:r>
      <w:r w:rsidR="007507B6" w:rsidRPr="00654CF1">
        <w:rPr>
          <w:rFonts w:ascii="Book Antiqua" w:hAnsi="Book Antiqua"/>
          <w:sz w:val="24"/>
          <w:szCs w:val="24"/>
          <w:lang w:val="bg-BG"/>
        </w:rPr>
        <w:t>Акад. Г. Бончев” бл. 10</w:t>
      </w:r>
      <w:r w:rsidRPr="00654CF1">
        <w:rPr>
          <w:rFonts w:ascii="Book Antiqua" w:hAnsi="Book Antiqua"/>
          <w:sz w:val="24"/>
          <w:szCs w:val="24"/>
          <w:lang w:val="bg-BG"/>
        </w:rPr>
        <w:t>,</w:t>
      </w:r>
      <w:r w:rsidR="004F217A" w:rsidRPr="00654CF1">
        <w:rPr>
          <w:rFonts w:ascii="Book Antiqua" w:hAnsi="Book Antiqua"/>
          <w:sz w:val="24"/>
          <w:szCs w:val="24"/>
          <w:lang w:val="bg-BG"/>
        </w:rPr>
        <w:t xml:space="preserve"> </w:t>
      </w:r>
      <w:r w:rsidR="00E90787" w:rsidRPr="00654CF1">
        <w:rPr>
          <w:rFonts w:ascii="Book Antiqua" w:hAnsi="Book Antiqua"/>
          <w:sz w:val="24"/>
          <w:szCs w:val="24"/>
          <w:lang w:val="bg-BG"/>
        </w:rPr>
        <w:t xml:space="preserve">като </w:t>
      </w:r>
      <w:r w:rsidRPr="00654CF1">
        <w:rPr>
          <w:rFonts w:ascii="Book Antiqua" w:hAnsi="Book Antiqua"/>
          <w:sz w:val="24"/>
          <w:szCs w:val="24"/>
          <w:lang w:val="bg-BG"/>
        </w:rPr>
        <w:t>индикативното предложение следва да се постави</w:t>
      </w:r>
      <w:r w:rsidR="00E90787" w:rsidRPr="00654CF1">
        <w:rPr>
          <w:rFonts w:ascii="Book Antiqua" w:hAnsi="Book Antiqua"/>
          <w:sz w:val="24"/>
          <w:szCs w:val="24"/>
          <w:lang w:val="bg-BG"/>
        </w:rPr>
        <w:t xml:space="preserve"> в </w:t>
      </w:r>
      <w:r w:rsidR="00BC6E03" w:rsidRPr="00654CF1">
        <w:rPr>
          <w:rFonts w:ascii="Book Antiqua" w:hAnsi="Book Antiqua"/>
          <w:sz w:val="24"/>
          <w:szCs w:val="24"/>
          <w:lang w:val="bg-BG"/>
        </w:rPr>
        <w:t xml:space="preserve">запечатана опаковка с посочване върху плика на подателя и на следния текст: </w:t>
      </w:r>
      <w:r w:rsidR="00BC6E03" w:rsidRPr="00654CF1">
        <w:rPr>
          <w:rFonts w:ascii="Book Antiqua" w:hAnsi="Book Antiqua"/>
          <w:i/>
          <w:sz w:val="24"/>
          <w:szCs w:val="24"/>
          <w:lang w:val="bg-BG"/>
        </w:rPr>
        <w:t>„Индикативно ценово предложение за участие в обществена поръчка с предмет</w:t>
      </w:r>
      <w:r w:rsidR="00750F97" w:rsidRPr="00654CF1">
        <w:rPr>
          <w:rFonts w:ascii="Book Antiqua" w:hAnsi="Book Antiqua"/>
          <w:i/>
          <w:sz w:val="24"/>
          <w:szCs w:val="24"/>
          <w:lang w:val="bg-BG"/>
        </w:rPr>
        <w:t>:</w:t>
      </w:r>
      <w:r w:rsidR="00BC6E03" w:rsidRPr="00654CF1">
        <w:rPr>
          <w:rFonts w:ascii="Book Antiqua" w:hAnsi="Book Antiqua"/>
          <w:i/>
          <w:sz w:val="24"/>
          <w:szCs w:val="24"/>
          <w:lang w:val="bg-BG"/>
        </w:rPr>
        <w:t xml:space="preserve"> </w:t>
      </w:r>
      <w:r w:rsidR="00750F97" w:rsidRPr="00654CF1">
        <w:rPr>
          <w:rFonts w:ascii="Book Antiqua" w:hAnsi="Book Antiqua"/>
          <w:i/>
          <w:sz w:val="24"/>
          <w:szCs w:val="24"/>
          <w:lang w:val="bg-BG"/>
        </w:rPr>
        <w:t xml:space="preserve">„Доставка, монтаж, въвеждане в експлоатация, обучение за работа и гаранционна поддръжка на специализирана апаратура за нуждите на Институт по електрохимия и енергийни системи „Акад. Евгени Будевски” – БАН – по 4 (четири) обособени позиции” </w:t>
      </w:r>
    </w:p>
    <w:p w:rsidR="00E90787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i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или</w:t>
      </w:r>
    </w:p>
    <w:p w:rsidR="009F6DC4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t>б)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 на следния електронен адрес: </w:t>
      </w:r>
      <w:hyperlink r:id="rId7" w:history="1">
        <w:r w:rsidR="00816CA4" w:rsidRPr="00654CF1">
          <w:rPr>
            <w:rStyle w:val="Hyperlink"/>
            <w:rFonts w:ascii="Book Antiqua" w:hAnsi="Book Antiqua"/>
            <w:sz w:val="24"/>
            <w:szCs w:val="24"/>
          </w:rPr>
          <w:t>dimidimitrov@iees.bas.bg</w:t>
        </w:r>
      </w:hyperlink>
    </w:p>
    <w:p w:rsidR="009F6DC4" w:rsidRPr="00654CF1" w:rsidRDefault="009F6DC4" w:rsidP="00654CF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bg-BG"/>
        </w:rPr>
      </w:pPr>
    </w:p>
    <w:p w:rsidR="00BC6E03" w:rsidRPr="00654CF1" w:rsidRDefault="002B77B1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b/>
          <w:sz w:val="24"/>
          <w:szCs w:val="24"/>
          <w:lang w:val="bg-BG"/>
        </w:rPr>
        <w:lastRenderedPageBreak/>
        <w:t>3</w:t>
      </w:r>
      <w:r w:rsidR="009F6DC4" w:rsidRPr="00654CF1">
        <w:rPr>
          <w:rFonts w:ascii="Book Antiqua" w:hAnsi="Book Antiqua"/>
          <w:b/>
          <w:sz w:val="24"/>
          <w:szCs w:val="24"/>
          <w:lang w:val="bg-BG"/>
        </w:rPr>
        <w:t>.</w:t>
      </w:r>
      <w:r w:rsidR="00467F8B" w:rsidRPr="00654CF1">
        <w:rPr>
          <w:rFonts w:ascii="Book Antiqua" w:hAnsi="Book Antiqua"/>
          <w:b/>
          <w:sz w:val="24"/>
          <w:szCs w:val="24"/>
          <w:lang w:val="bg-BG"/>
        </w:rPr>
        <w:t xml:space="preserve"> </w:t>
      </w:r>
      <w:r w:rsidR="00BC6E03" w:rsidRPr="00654CF1">
        <w:rPr>
          <w:rFonts w:ascii="Book Antiqua" w:hAnsi="Book Antiqua"/>
          <w:sz w:val="24"/>
          <w:szCs w:val="24"/>
          <w:lang w:val="bg-BG"/>
        </w:rPr>
        <w:t xml:space="preserve">С оглед спазването на изискванията на българското законодателство в областта на обществените поръчки и в съответствие с принципите за публичност, прозрачност, равнопоставеност, недопускане на дискриминация и свободна конкуренция, с подаване на индикативно ценово предложение, всеки от участниците в пазарната консултация се съгласява, че предложението, както и всякаква друга информация, предоставена от него, ще бъдат публично достъпни в </w:t>
      </w:r>
      <w:r w:rsidR="00750F97" w:rsidRPr="00654CF1">
        <w:rPr>
          <w:rFonts w:ascii="Book Antiqua" w:hAnsi="Book Antiqua"/>
          <w:sz w:val="24"/>
          <w:szCs w:val="24"/>
          <w:lang w:val="bg-BG"/>
        </w:rPr>
        <w:t>профила на купувача на</w:t>
      </w:r>
      <w:r w:rsidR="00BC6E03" w:rsidRPr="00654CF1">
        <w:rPr>
          <w:rFonts w:ascii="Book Antiqua" w:hAnsi="Book Antiqua"/>
          <w:sz w:val="24"/>
          <w:szCs w:val="24"/>
          <w:lang w:val="bg-BG"/>
        </w:rPr>
        <w:t xml:space="preserve"> ИЕЕС-БАН, като резултат от проведената пазарна консултация.</w:t>
      </w: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В случай че не може да се осигури спазване на принципа за равнопоставеност, независимо от съблюдаването на изискванията на чл. 44, ал. 3 и ал. 4 от ЗОП, участникът, участвал в пазарната консултация, се отстранява от обществената поръчка, ако не може да докаже, че участието му не води до нарушаване на този принцип (</w:t>
      </w:r>
      <w:r w:rsidR="00DB70F8" w:rsidRPr="00654CF1">
        <w:rPr>
          <w:rFonts w:ascii="Book Antiqua" w:hAnsi="Book Antiqua"/>
          <w:sz w:val="24"/>
          <w:szCs w:val="24"/>
          <w:lang w:val="bg-BG"/>
        </w:rPr>
        <w:t xml:space="preserve">по арг. от 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чл. 54, ал. 1, т. </w:t>
      </w:r>
      <w:r w:rsidR="00DB70F8" w:rsidRPr="00654CF1">
        <w:rPr>
          <w:rFonts w:ascii="Book Antiqua" w:hAnsi="Book Antiqua"/>
          <w:sz w:val="24"/>
          <w:szCs w:val="24"/>
          <w:lang w:val="bg-BG"/>
        </w:rPr>
        <w:t>4</w:t>
      </w:r>
      <w:r w:rsidRPr="00654CF1">
        <w:rPr>
          <w:rFonts w:ascii="Book Antiqua" w:hAnsi="Book Antiqua"/>
          <w:sz w:val="24"/>
          <w:szCs w:val="24"/>
          <w:lang w:val="bg-BG"/>
        </w:rPr>
        <w:t xml:space="preserve"> от ЗОП</w:t>
      </w:r>
      <w:r w:rsidR="00DB70F8" w:rsidRPr="00654CF1">
        <w:rPr>
          <w:rFonts w:ascii="Book Antiqua" w:hAnsi="Book Antiqua"/>
          <w:sz w:val="24"/>
          <w:szCs w:val="24"/>
          <w:lang w:val="bg-BG"/>
        </w:rPr>
        <w:t xml:space="preserve"> във вр. с чл. 44, ал. 5 от ЗОП</w:t>
      </w:r>
      <w:r w:rsidRPr="00654CF1">
        <w:rPr>
          <w:rFonts w:ascii="Book Antiqua" w:hAnsi="Book Antiqua"/>
          <w:sz w:val="24"/>
          <w:szCs w:val="24"/>
          <w:lang w:val="bg-BG"/>
        </w:rPr>
        <w:t>). Преценката за необходимостта от отстраняване от участие е на възложителя</w:t>
      </w:r>
      <w:r w:rsidR="00467F8B" w:rsidRPr="00654CF1">
        <w:rPr>
          <w:rFonts w:ascii="Book Antiqua" w:hAnsi="Book Antiqua"/>
          <w:sz w:val="24"/>
          <w:szCs w:val="24"/>
          <w:lang w:val="bg-BG"/>
        </w:rPr>
        <w:t>.</w:t>
      </w: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 xml:space="preserve">Настоящата покана за представяне на индикативно ценово предложение не представлява </w:t>
      </w:r>
      <w:r w:rsidR="009F6DC4" w:rsidRPr="00654CF1">
        <w:rPr>
          <w:rFonts w:ascii="Book Antiqua" w:hAnsi="Book Antiqua"/>
          <w:sz w:val="24"/>
          <w:szCs w:val="24"/>
          <w:lang w:val="bg-BG"/>
        </w:rPr>
        <w:t xml:space="preserve">възлагане на </w:t>
      </w:r>
      <w:r w:rsidRPr="00654CF1">
        <w:rPr>
          <w:rFonts w:ascii="Book Antiqua" w:hAnsi="Book Antiqua"/>
          <w:sz w:val="24"/>
          <w:szCs w:val="24"/>
          <w:lang w:val="bg-BG"/>
        </w:rPr>
        <w:t>обществена поръчка по смисъла на ЗОП. Пазарната консултация се извършва с цел осигуряване публичност и прозрачност на процеса по определяне на прогнозната стойност за изпълнение на обществената поръчка.</w:t>
      </w: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Предоставените от участниците индикативни ценови предложения нямат обвързващ характер в случай на откриване и провеждане на обществена поръчка по реда на ЗОП.</w:t>
      </w:r>
    </w:p>
    <w:p w:rsidR="00467F8B" w:rsidRPr="00654CF1" w:rsidRDefault="00467F8B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Участниците могат да предоставят индикативно ценово предложение по една или по повече</w:t>
      </w:r>
      <w:r w:rsidR="0045091B" w:rsidRPr="00654CF1">
        <w:rPr>
          <w:rFonts w:ascii="Book Antiqua" w:hAnsi="Book Antiqua"/>
          <w:sz w:val="24"/>
          <w:szCs w:val="24"/>
          <w:lang w:val="bg-BG"/>
        </w:rPr>
        <w:t xml:space="preserve"> от обособените позиции от предме</w:t>
      </w:r>
      <w:r w:rsidRPr="00654CF1">
        <w:rPr>
          <w:rFonts w:ascii="Book Antiqua" w:hAnsi="Book Antiqua"/>
          <w:sz w:val="24"/>
          <w:szCs w:val="24"/>
          <w:lang w:val="bg-BG"/>
        </w:rPr>
        <w:t>та на поръчката, като за целта попълнят съответните полета от образеца на индикативно ценово предложение.</w:t>
      </w:r>
    </w:p>
    <w:p w:rsidR="009F6DC4" w:rsidRPr="00654CF1" w:rsidRDefault="009F6DC4" w:rsidP="00654CF1">
      <w:pPr>
        <w:spacing w:after="0" w:line="240" w:lineRule="auto"/>
        <w:jc w:val="both"/>
        <w:rPr>
          <w:rFonts w:ascii="Book Antiqua" w:hAnsi="Book Antiqua"/>
          <w:sz w:val="24"/>
          <w:szCs w:val="24"/>
          <w:lang w:val="bg-BG"/>
        </w:rPr>
      </w:pP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u w:val="single"/>
          <w:lang w:val="bg-BG"/>
        </w:rPr>
      </w:pPr>
      <w:r w:rsidRPr="00654CF1">
        <w:rPr>
          <w:rFonts w:ascii="Book Antiqua" w:hAnsi="Book Antiqua"/>
          <w:sz w:val="24"/>
          <w:szCs w:val="24"/>
          <w:u w:val="single"/>
          <w:lang w:val="bg-BG"/>
        </w:rPr>
        <w:t>Приложени</w:t>
      </w:r>
      <w:r w:rsidR="009F6DC4" w:rsidRPr="00654CF1">
        <w:rPr>
          <w:rFonts w:ascii="Book Antiqua" w:hAnsi="Book Antiqua"/>
          <w:sz w:val="24"/>
          <w:szCs w:val="24"/>
          <w:u w:val="single"/>
          <w:lang w:val="bg-BG"/>
        </w:rPr>
        <w:t>я</w:t>
      </w:r>
      <w:r w:rsidRPr="00654CF1">
        <w:rPr>
          <w:rFonts w:ascii="Book Antiqua" w:hAnsi="Book Antiqua"/>
          <w:sz w:val="24"/>
          <w:szCs w:val="24"/>
          <w:u w:val="single"/>
          <w:lang w:val="bg-BG"/>
        </w:rPr>
        <w:t>:</w:t>
      </w:r>
    </w:p>
    <w:p w:rsidR="00BC6E03" w:rsidRPr="00654CF1" w:rsidRDefault="00BC6E03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1.</w:t>
      </w:r>
      <w:r w:rsidR="00343A12">
        <w:rPr>
          <w:rFonts w:ascii="Book Antiqua" w:hAnsi="Book Antiqua"/>
          <w:sz w:val="24"/>
          <w:szCs w:val="24"/>
          <w:lang w:val="bg-BG"/>
        </w:rPr>
        <w:t xml:space="preserve"> </w:t>
      </w:r>
      <w:r w:rsidRPr="00654CF1">
        <w:rPr>
          <w:rFonts w:ascii="Book Antiqua" w:hAnsi="Book Antiqua"/>
          <w:sz w:val="24"/>
          <w:szCs w:val="24"/>
          <w:lang w:val="bg-BG"/>
        </w:rPr>
        <w:t>Приложение № 1 – Техническа спецификация;</w:t>
      </w:r>
    </w:p>
    <w:p w:rsidR="00E90787" w:rsidRPr="00654CF1" w:rsidRDefault="000779D4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  <w:r w:rsidRPr="00654CF1">
        <w:rPr>
          <w:rFonts w:ascii="Book Antiqua" w:hAnsi="Book Antiqua"/>
          <w:sz w:val="24"/>
          <w:szCs w:val="24"/>
          <w:lang w:val="bg-BG"/>
        </w:rPr>
        <w:t>2.</w:t>
      </w:r>
      <w:r w:rsidR="00343A12">
        <w:rPr>
          <w:rFonts w:ascii="Book Antiqua" w:hAnsi="Book Antiqua"/>
          <w:sz w:val="24"/>
          <w:szCs w:val="24"/>
          <w:lang w:val="bg-BG"/>
        </w:rPr>
        <w:t xml:space="preserve"> </w:t>
      </w:r>
      <w:r w:rsidR="00BC6E03" w:rsidRPr="00654CF1">
        <w:rPr>
          <w:rFonts w:ascii="Book Antiqua" w:hAnsi="Book Antiqua"/>
          <w:sz w:val="24"/>
          <w:szCs w:val="24"/>
          <w:lang w:val="bg-BG"/>
        </w:rPr>
        <w:t>Приложение № 2 – Образец на индикативно ценово предложение</w:t>
      </w:r>
      <w:r w:rsidR="006E6299">
        <w:rPr>
          <w:rFonts w:ascii="Book Antiqua" w:hAnsi="Book Antiqua"/>
          <w:sz w:val="24"/>
          <w:szCs w:val="24"/>
          <w:lang w:val="bg-BG"/>
        </w:rPr>
        <w:t>.</w:t>
      </w:r>
    </w:p>
    <w:p w:rsidR="009F6DC4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9F6DC4" w:rsidRPr="00654CF1" w:rsidRDefault="009F6DC4" w:rsidP="00654CF1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  <w:lang w:val="bg-BG"/>
        </w:rPr>
      </w:pPr>
    </w:p>
    <w:p w:rsidR="009F6DC4" w:rsidRPr="00654CF1" w:rsidRDefault="009F6DC4" w:rsidP="00654CF1">
      <w:pPr>
        <w:spacing w:after="0" w:line="240" w:lineRule="auto"/>
        <w:jc w:val="center"/>
        <w:rPr>
          <w:rFonts w:ascii="Book Antiqua" w:hAnsi="Book Antiqua"/>
          <w:i/>
          <w:sz w:val="24"/>
          <w:szCs w:val="24"/>
          <w:lang w:val="bg-BG"/>
        </w:rPr>
      </w:pPr>
    </w:p>
    <w:sectPr w:rsidR="009F6DC4" w:rsidRPr="00654CF1" w:rsidSect="001B0F43">
      <w:headerReference w:type="default" r:id="rId8"/>
      <w:footerReference w:type="default" r:id="rId9"/>
      <w:pgSz w:w="12240" w:h="15840"/>
      <w:pgMar w:top="709" w:right="11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73" w:rsidRDefault="00D27673" w:rsidP="002B77B1">
      <w:pPr>
        <w:spacing w:after="0" w:line="240" w:lineRule="auto"/>
      </w:pPr>
      <w:r>
        <w:separator/>
      </w:r>
    </w:p>
  </w:endnote>
  <w:endnote w:type="continuationSeparator" w:id="0">
    <w:p w:rsidR="00D27673" w:rsidRDefault="00D27673" w:rsidP="002B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b/>
        <w:i/>
        <w:sz w:val="24"/>
        <w:szCs w:val="24"/>
      </w:rPr>
      <w:id w:val="1814446862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b/>
            <w:i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Content>
          <w:p w:rsidR="002B77B1" w:rsidRPr="002B77B1" w:rsidRDefault="002B77B1">
            <w:pPr>
              <w:pStyle w:val="Footer"/>
              <w:jc w:val="right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2B77B1">
              <w:rPr>
                <w:rFonts w:ascii="Book Antiqua" w:hAnsi="Book Antiqua"/>
                <w:b/>
                <w:i/>
                <w:sz w:val="24"/>
                <w:szCs w:val="24"/>
                <w:lang w:val="bg-BG"/>
              </w:rPr>
              <w:t>стр.</w:t>
            </w:r>
            <w:r w:rsidR="00FF730C">
              <w:rPr>
                <w:rFonts w:ascii="Book Antiqua" w:hAnsi="Book Antiqua"/>
                <w:b/>
                <w:i/>
                <w:sz w:val="24"/>
                <w:szCs w:val="24"/>
                <w:lang w:val="bg-BG"/>
              </w:rPr>
              <w:t xml:space="preserve"> </w:t>
            </w:r>
            <w:r w:rsidR="0008155D"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fldChar w:fldCharType="begin"/>
            </w:r>
            <w:r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instrText xml:space="preserve"> PAGE </w:instrText>
            </w:r>
            <w:r w:rsidR="0008155D"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fldChar w:fldCharType="separate"/>
            </w:r>
            <w:r w:rsidR="001B0F43"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  <w:t>2</w:t>
            </w:r>
            <w:r w:rsidR="0008155D"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fldChar w:fldCharType="end"/>
            </w:r>
            <w:r w:rsidR="00FF730C">
              <w:rPr>
                <w:rFonts w:ascii="Book Antiqua" w:hAnsi="Book Antiqua"/>
                <w:b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2B77B1">
              <w:rPr>
                <w:rFonts w:ascii="Book Antiqua" w:hAnsi="Book Antiqua"/>
                <w:b/>
                <w:i/>
                <w:sz w:val="24"/>
                <w:szCs w:val="24"/>
                <w:lang w:val="bg-BG"/>
              </w:rPr>
              <w:t>от</w:t>
            </w:r>
            <w:r w:rsidR="00FF730C">
              <w:rPr>
                <w:rFonts w:ascii="Book Antiqua" w:hAnsi="Book Antiqua"/>
                <w:b/>
                <w:i/>
                <w:sz w:val="24"/>
                <w:szCs w:val="24"/>
                <w:lang w:val="bg-BG"/>
              </w:rPr>
              <w:t xml:space="preserve"> </w:t>
            </w:r>
            <w:r w:rsidR="0008155D"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fldChar w:fldCharType="begin"/>
            </w:r>
            <w:r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instrText xml:space="preserve"> NUMPAGES  </w:instrText>
            </w:r>
            <w:r w:rsidR="0008155D"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fldChar w:fldCharType="separate"/>
            </w:r>
            <w:r w:rsidR="001B0F43"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  <w:t>3</w:t>
            </w:r>
            <w:r w:rsidR="0008155D" w:rsidRPr="002B77B1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2B77B1" w:rsidRPr="002B77B1" w:rsidRDefault="002B77B1">
    <w:pPr>
      <w:pStyle w:val="Footer"/>
      <w:rPr>
        <w:rFonts w:ascii="Book Antiqua" w:hAnsi="Book Antiqu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73" w:rsidRDefault="00D27673" w:rsidP="002B77B1">
      <w:pPr>
        <w:spacing w:after="0" w:line="240" w:lineRule="auto"/>
      </w:pPr>
      <w:r>
        <w:separator/>
      </w:r>
    </w:p>
  </w:footnote>
  <w:footnote w:type="continuationSeparator" w:id="0">
    <w:p w:rsidR="00D27673" w:rsidRDefault="00D27673" w:rsidP="002B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DEA" w:rsidRPr="00473D39" w:rsidRDefault="009A5DEA" w:rsidP="00473D39">
    <w:pPr>
      <w:tabs>
        <w:tab w:val="center" w:pos="4961"/>
        <w:tab w:val="right" w:pos="9922"/>
      </w:tabs>
      <w:spacing w:after="0" w:line="240" w:lineRule="auto"/>
      <w:rPr>
        <w:rFonts w:ascii="Calibri" w:eastAsia="Calibri" w:hAnsi="Calibri" w:cs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9B3"/>
    <w:multiLevelType w:val="hybridMultilevel"/>
    <w:tmpl w:val="EB3CDB30"/>
    <w:lvl w:ilvl="0" w:tplc="46F211C8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615031"/>
    <w:multiLevelType w:val="hybridMultilevel"/>
    <w:tmpl w:val="CE205F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714553"/>
    <w:multiLevelType w:val="hybridMultilevel"/>
    <w:tmpl w:val="82E87E4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B740E2"/>
    <w:multiLevelType w:val="hybridMultilevel"/>
    <w:tmpl w:val="E70A2C82"/>
    <w:lvl w:ilvl="0" w:tplc="52526BE6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97182"/>
    <w:multiLevelType w:val="hybridMultilevel"/>
    <w:tmpl w:val="99E430D8"/>
    <w:lvl w:ilvl="0" w:tplc="D43826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834E8F"/>
    <w:multiLevelType w:val="hybridMultilevel"/>
    <w:tmpl w:val="1A42CA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69139B"/>
    <w:multiLevelType w:val="hybridMultilevel"/>
    <w:tmpl w:val="C27245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A9036E"/>
    <w:multiLevelType w:val="hybridMultilevel"/>
    <w:tmpl w:val="D2E2DDF4"/>
    <w:lvl w:ilvl="0" w:tplc="417EC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66241"/>
    <w:multiLevelType w:val="hybridMultilevel"/>
    <w:tmpl w:val="4B7062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A7655A"/>
    <w:multiLevelType w:val="hybridMultilevel"/>
    <w:tmpl w:val="EBCEC8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55AEA"/>
    <w:multiLevelType w:val="hybridMultilevel"/>
    <w:tmpl w:val="8C90D91E"/>
    <w:lvl w:ilvl="0" w:tplc="E92E2696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E564A93C">
      <w:start w:val="2"/>
      <w:numFmt w:val="bullet"/>
      <w:lvlText w:val="•"/>
      <w:lvlJc w:val="left"/>
      <w:pPr>
        <w:ind w:left="2869" w:hanging="1440"/>
      </w:pPr>
      <w:rPr>
        <w:rFonts w:ascii="Book Antiqua" w:eastAsiaTheme="minorHAnsi" w:hAnsi="Book Antiqua" w:cstheme="minorBidi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0B5345"/>
    <w:multiLevelType w:val="hybridMultilevel"/>
    <w:tmpl w:val="8FF080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90787"/>
    <w:rsid w:val="000779D4"/>
    <w:rsid w:val="0008155D"/>
    <w:rsid w:val="000B7DBB"/>
    <w:rsid w:val="001578D2"/>
    <w:rsid w:val="00165D8C"/>
    <w:rsid w:val="001B0F43"/>
    <w:rsid w:val="00220DD3"/>
    <w:rsid w:val="00240D1E"/>
    <w:rsid w:val="00276ED1"/>
    <w:rsid w:val="002B77B1"/>
    <w:rsid w:val="00343A12"/>
    <w:rsid w:val="00394DB5"/>
    <w:rsid w:val="0045091B"/>
    <w:rsid w:val="00467F8B"/>
    <w:rsid w:val="00473D39"/>
    <w:rsid w:val="004C0AB2"/>
    <w:rsid w:val="004F217A"/>
    <w:rsid w:val="0052250E"/>
    <w:rsid w:val="00522EE3"/>
    <w:rsid w:val="00654CF1"/>
    <w:rsid w:val="0065724E"/>
    <w:rsid w:val="006D6AB2"/>
    <w:rsid w:val="006E6299"/>
    <w:rsid w:val="007507B6"/>
    <w:rsid w:val="00750F97"/>
    <w:rsid w:val="00816CA4"/>
    <w:rsid w:val="0082693E"/>
    <w:rsid w:val="00836392"/>
    <w:rsid w:val="00864D81"/>
    <w:rsid w:val="008D719F"/>
    <w:rsid w:val="0094465F"/>
    <w:rsid w:val="009541AC"/>
    <w:rsid w:val="00993068"/>
    <w:rsid w:val="009A5DEA"/>
    <w:rsid w:val="009B34F1"/>
    <w:rsid w:val="009F6DC4"/>
    <w:rsid w:val="00A50177"/>
    <w:rsid w:val="00A623F8"/>
    <w:rsid w:val="00A918BC"/>
    <w:rsid w:val="00AD0884"/>
    <w:rsid w:val="00BA0613"/>
    <w:rsid w:val="00BC6E03"/>
    <w:rsid w:val="00BE5B5D"/>
    <w:rsid w:val="00BE5E1E"/>
    <w:rsid w:val="00C056CD"/>
    <w:rsid w:val="00C637A9"/>
    <w:rsid w:val="00C64BA0"/>
    <w:rsid w:val="00CD6ED6"/>
    <w:rsid w:val="00CE7910"/>
    <w:rsid w:val="00CF3FBD"/>
    <w:rsid w:val="00D27673"/>
    <w:rsid w:val="00D80573"/>
    <w:rsid w:val="00D81596"/>
    <w:rsid w:val="00D971E5"/>
    <w:rsid w:val="00DB70F8"/>
    <w:rsid w:val="00DF6903"/>
    <w:rsid w:val="00E00BD6"/>
    <w:rsid w:val="00E84485"/>
    <w:rsid w:val="00E90787"/>
    <w:rsid w:val="00EB5111"/>
    <w:rsid w:val="00EC6956"/>
    <w:rsid w:val="00FB323B"/>
    <w:rsid w:val="00FC1370"/>
    <w:rsid w:val="00FD5652"/>
    <w:rsid w:val="00FF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B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7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7B1"/>
  </w:style>
  <w:style w:type="paragraph" w:styleId="Footer">
    <w:name w:val="footer"/>
    <w:basedOn w:val="Normal"/>
    <w:link w:val="FooterChar"/>
    <w:uiPriority w:val="99"/>
    <w:unhideWhenUsed/>
    <w:rsid w:val="002B77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7B1"/>
  </w:style>
  <w:style w:type="paragraph" w:styleId="BalloonText">
    <w:name w:val="Balloon Text"/>
    <w:basedOn w:val="Normal"/>
    <w:link w:val="BalloonTextChar"/>
    <w:uiPriority w:val="99"/>
    <w:semiHidden/>
    <w:unhideWhenUsed/>
    <w:rsid w:val="009A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D8C"/>
    <w:rPr>
      <w:color w:val="0000FF" w:themeColor="hyperlink"/>
      <w:u w:val="single"/>
    </w:rPr>
  </w:style>
  <w:style w:type="paragraph" w:customStyle="1" w:styleId="Default">
    <w:name w:val="Default"/>
    <w:rsid w:val="00FC1370"/>
    <w:pPr>
      <w:autoSpaceDE w:val="0"/>
      <w:autoSpaceDN w:val="0"/>
      <w:adjustRightInd w:val="0"/>
      <w:spacing w:after="0" w:line="240" w:lineRule="auto"/>
    </w:pPr>
    <w:rPr>
      <w:rFonts w:ascii="MS ??" w:eastAsia="Courier New" w:hAnsi="MS ??" w:cs="MS ??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B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B77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B77B1"/>
  </w:style>
  <w:style w:type="paragraph" w:styleId="Footer">
    <w:name w:val="footer"/>
    <w:basedOn w:val="Normal"/>
    <w:link w:val="FooterChar"/>
    <w:uiPriority w:val="99"/>
    <w:unhideWhenUsed/>
    <w:rsid w:val="002B77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7B1"/>
  </w:style>
  <w:style w:type="paragraph" w:styleId="BalloonText">
    <w:name w:val="Balloon Text"/>
    <w:basedOn w:val="Normal"/>
    <w:link w:val="BalloonTextChar"/>
    <w:uiPriority w:val="99"/>
    <w:semiHidden/>
    <w:unhideWhenUsed/>
    <w:rsid w:val="009A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5D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midimitrov@iees.bas.b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Acc</cp:lastModifiedBy>
  <cp:revision>28</cp:revision>
  <cp:lastPrinted>2020-08-07T07:34:00Z</cp:lastPrinted>
  <dcterms:created xsi:type="dcterms:W3CDTF">2019-11-11T15:56:00Z</dcterms:created>
  <dcterms:modified xsi:type="dcterms:W3CDTF">2020-08-07T07:35:00Z</dcterms:modified>
</cp:coreProperties>
</file>